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CPG DNA REGULATION OF COAGULATION: IMPLICATIONS FOR ACUTE CORONARY ARTERY DISEASE </w:t>
      </w:r>
    </w:p>
    <w:p w:rsidR="00B921ED" w:rsidRPr="0085724A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5724A">
        <w:rPr>
          <w:b/>
          <w:bCs/>
          <w:u w:val="single"/>
        </w:rPr>
        <w:t xml:space="preserve">J.G. </w:t>
      </w:r>
      <w:proofErr w:type="spellStart"/>
      <w:r w:rsidRPr="0085724A">
        <w:rPr>
          <w:b/>
          <w:bCs/>
          <w:u w:val="single"/>
        </w:rPr>
        <w:t>Filep</w:t>
      </w:r>
      <w:proofErr w:type="spellEnd"/>
      <w:r w:rsidRPr="0085724A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Montreal, Montreal, Quebec,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5724A" w:rsidRDefault="00B921ED">
      <w:pPr>
        <w:widowControl w:val="0"/>
        <w:autoSpaceDE w:val="0"/>
        <w:autoSpaceDN w:val="0"/>
        <w:adjustRightInd w:val="0"/>
        <w:jc w:val="both"/>
      </w:pPr>
      <w:r w:rsidRPr="0085724A">
        <w:rPr>
          <w:i/>
          <w:iCs/>
        </w:rPr>
        <w:t>Background</w:t>
      </w:r>
      <w:r>
        <w:t xml:space="preserve">: </w:t>
      </w:r>
      <w:proofErr w:type="spellStart"/>
      <w:r>
        <w:t>Bacteraemia</w:t>
      </w:r>
      <w:proofErr w:type="spellEnd"/>
      <w:r>
        <w:t xml:space="preserve"> is associated with increased risk of acute coronary artery disease and stroke. Bacterial DNA and mitochondrial DNA, containing </w:t>
      </w:r>
      <w:proofErr w:type="spellStart"/>
      <w:r>
        <w:t>unmethylated</w:t>
      </w:r>
      <w:proofErr w:type="spellEnd"/>
      <w:r>
        <w:t xml:space="preserve"> </w:t>
      </w:r>
      <w:proofErr w:type="spellStart"/>
      <w:r>
        <w:t>CpG</w:t>
      </w:r>
      <w:proofErr w:type="spellEnd"/>
      <w:r>
        <w:t xml:space="preserve"> dinucleotide motifs (</w:t>
      </w:r>
      <w:proofErr w:type="spellStart"/>
      <w:r>
        <w:t>CpG</w:t>
      </w:r>
      <w:proofErr w:type="spellEnd"/>
      <w:r>
        <w:t xml:space="preserve"> DNA) are potent inducers of immune responses during infection and tissue injury predominantly through Toll-like receptor 9 (TLR9). </w:t>
      </w:r>
      <w:proofErr w:type="spellStart"/>
      <w:r>
        <w:t>CpG</w:t>
      </w:r>
      <w:proofErr w:type="spellEnd"/>
      <w:r>
        <w:t xml:space="preserve"> DNA persisting in atherosclerotic plaques and blood contributes to ongoing inflammation, yet little is known about its impact on the coagulation pathway, which plays an important role in thrombus formation. </w:t>
      </w:r>
    </w:p>
    <w:p w:rsidR="0085724A" w:rsidRDefault="00B921ED">
      <w:pPr>
        <w:widowControl w:val="0"/>
        <w:autoSpaceDE w:val="0"/>
        <w:autoSpaceDN w:val="0"/>
        <w:adjustRightInd w:val="0"/>
        <w:jc w:val="both"/>
      </w:pPr>
      <w:r w:rsidRPr="0085724A">
        <w:rPr>
          <w:i/>
          <w:iCs/>
        </w:rPr>
        <w:t>Results</w:t>
      </w:r>
      <w:r>
        <w:t xml:space="preserve">: Culture of human coronary artery cells (HCAEC) with </w:t>
      </w:r>
      <w:proofErr w:type="spellStart"/>
      <w:r>
        <w:t>CpG</w:t>
      </w:r>
      <w:proofErr w:type="spellEnd"/>
      <w:r>
        <w:t xml:space="preserve"> DNA evoked marked NF-</w:t>
      </w:r>
      <w:proofErr w:type="spellStart"/>
      <w:r>
        <w:t>êB</w:t>
      </w:r>
      <w:proofErr w:type="spellEnd"/>
      <w:r>
        <w:t xml:space="preserve">-mediated increases in tissue factor (TF) expression at both mRNA and protein levels as well as in TF activity. Conversely, </w:t>
      </w:r>
      <w:proofErr w:type="spellStart"/>
      <w:r>
        <w:t>CpG</w:t>
      </w:r>
      <w:proofErr w:type="spellEnd"/>
      <w:r>
        <w:t xml:space="preserve"> DNA significantly reduced transcription, secretion and activity of tissue factor pathway inhibitor (TFPI). Inhibition of TLR9 with a telomere-derived TLR9 inhibitory oligonucleotide (</w:t>
      </w:r>
      <w:proofErr w:type="spellStart"/>
      <w:r>
        <w:t>iODN</w:t>
      </w:r>
      <w:proofErr w:type="spellEnd"/>
      <w:r>
        <w:t xml:space="preserve">) or transient TLR9 knockdown with siRNA attenuated HCAEC responses to </w:t>
      </w:r>
      <w:proofErr w:type="spellStart"/>
      <w:r>
        <w:t>CpG</w:t>
      </w:r>
      <w:proofErr w:type="spellEnd"/>
      <w:r>
        <w:t xml:space="preserve"> DNA. In wild type mice, </w:t>
      </w:r>
      <w:proofErr w:type="spellStart"/>
      <w:r>
        <w:t>CpG</w:t>
      </w:r>
      <w:proofErr w:type="spellEnd"/>
      <w:r>
        <w:t xml:space="preserve"> DNA shortened the bleeding time parallel with dramatic increases in plasma thrombin-</w:t>
      </w:r>
      <w:proofErr w:type="spellStart"/>
      <w:r>
        <w:t>antithrombin</w:t>
      </w:r>
      <w:proofErr w:type="spellEnd"/>
      <w:r>
        <w:t xml:space="preserve"> complex and TF levels. Pre-treatment of mice with </w:t>
      </w:r>
      <w:proofErr w:type="spellStart"/>
      <w:r>
        <w:t>iODN</w:t>
      </w:r>
      <w:proofErr w:type="spellEnd"/>
      <w:r>
        <w:t xml:space="preserve"> or an anti-TF antibody prevented these changes, whereas depleting of circulating monocytes with </w:t>
      </w:r>
      <w:proofErr w:type="spellStart"/>
      <w:r>
        <w:t>clodronate</w:t>
      </w:r>
      <w:proofErr w:type="spellEnd"/>
      <w:r>
        <w:t xml:space="preserve"> resulted in a slight inhibition. Genetic deletion of TLR9 rendered mice unresponsive to </w:t>
      </w:r>
      <w:proofErr w:type="spellStart"/>
      <w:r>
        <w:t>CpG</w:t>
      </w:r>
      <w:proofErr w:type="spellEnd"/>
      <w:r>
        <w:t xml:space="preserve"> DNA. </w:t>
      </w:r>
    </w:p>
    <w:p w:rsidR="0085724A" w:rsidRDefault="00B921ED">
      <w:pPr>
        <w:widowControl w:val="0"/>
        <w:autoSpaceDE w:val="0"/>
        <w:autoSpaceDN w:val="0"/>
        <w:adjustRightInd w:val="0"/>
        <w:jc w:val="both"/>
      </w:pPr>
      <w:r w:rsidRPr="0085724A">
        <w:rPr>
          <w:i/>
          <w:iCs/>
        </w:rPr>
        <w:t>Conclusions</w:t>
      </w:r>
      <w:r>
        <w:t xml:space="preserve">: Our findings demonstrate that </w:t>
      </w:r>
      <w:proofErr w:type="spellStart"/>
      <w:r>
        <w:t>CpG</w:t>
      </w:r>
      <w:proofErr w:type="spellEnd"/>
      <w:r>
        <w:t xml:space="preserve"> DNA through TLR9 shifts the balance of TF and TFPI towards pro-coagulant phenotype in HCAECs and activates the coagulation cascade in mice. Our study identifies TLR9 as a potential target to prevent </w:t>
      </w:r>
      <w:proofErr w:type="spellStart"/>
      <w:r>
        <w:t>CpG</w:t>
      </w:r>
      <w:proofErr w:type="spellEnd"/>
      <w:r>
        <w:t xml:space="preserve"> DNA-mediated activation of blood coagulation in acute coronary artery disease.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(Grant support: Canadian Institutes of Health Research MOP-97742).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2F" w:rsidRDefault="00663B2F" w:rsidP="0085724A">
      <w:r>
        <w:separator/>
      </w:r>
    </w:p>
  </w:endnote>
  <w:endnote w:type="continuationSeparator" w:id="0">
    <w:p w:rsidR="00663B2F" w:rsidRDefault="00663B2F" w:rsidP="0085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2F" w:rsidRDefault="00663B2F" w:rsidP="0085724A">
      <w:r>
        <w:separator/>
      </w:r>
    </w:p>
  </w:footnote>
  <w:footnote w:type="continuationSeparator" w:id="0">
    <w:p w:rsidR="00663B2F" w:rsidRDefault="00663B2F" w:rsidP="0085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4A" w:rsidRDefault="0085724A" w:rsidP="0085724A">
    <w:pPr>
      <w:pStyle w:val="Header"/>
    </w:pPr>
    <w:r>
      <w:t>3058</w:t>
    </w:r>
  </w:p>
  <w:p w:rsidR="0085724A" w:rsidRDefault="00857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51730F"/>
    <w:rsid w:val="00663B2F"/>
    <w:rsid w:val="0085724A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9D3743-4E45-436C-A3F1-7A4362C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2016-03-21T09:35:00Z</dcterms:created>
  <dcterms:modified xsi:type="dcterms:W3CDTF">2016-03-21T09:36:00Z</dcterms:modified>
</cp:coreProperties>
</file>